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9F" w:rsidRPr="0095789F" w:rsidRDefault="0095789F" w:rsidP="0095789F">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95789F">
        <w:rPr>
          <w:rFonts w:ascii="Times New Roman" w:eastAsia="Times New Roman" w:hAnsi="Times New Roman" w:cs="Times New Roman"/>
          <w:b/>
          <w:bCs/>
          <w:kern w:val="36"/>
          <w:sz w:val="48"/>
          <w:szCs w:val="48"/>
          <w:lang w:eastAsia="it-IT"/>
        </w:rPr>
        <w:t>Legge n. 170 del 08-10-2010</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LEGGE 8 ottobre 2010, n. 170 – Nuove norme in materia di disturbi specifici di apprendimento in ambito scolastico. (GU n. 244 del 18-10-2010 ).</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La Camera dei deputati ed il Senato della Repubblica hanno approvato;</w:t>
      </w:r>
    </w:p>
    <w:p w:rsidR="0095789F" w:rsidRPr="0095789F" w:rsidRDefault="0095789F" w:rsidP="0095789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IL PRESIDENTE DELLA REPUBBLICA</w:t>
      </w:r>
      <w:r w:rsidRPr="0095789F">
        <w:rPr>
          <w:rFonts w:ascii="Times New Roman" w:eastAsia="Times New Roman" w:hAnsi="Times New Roman" w:cs="Times New Roman"/>
          <w:sz w:val="24"/>
          <w:szCs w:val="24"/>
          <w:lang w:eastAsia="it-IT"/>
        </w:rPr>
        <w:br/>
        <w:t>promulga</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la seguente legge:</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b/>
          <w:bCs/>
          <w:sz w:val="24"/>
          <w:szCs w:val="24"/>
          <w:lang w:eastAsia="it-IT"/>
        </w:rPr>
        <w:t xml:space="preserve">Art. 1 – Riconoscimento e definizione di dislessia, disgrafia, </w:t>
      </w:r>
      <w:proofErr w:type="spellStart"/>
      <w:r w:rsidRPr="0095789F">
        <w:rPr>
          <w:rFonts w:ascii="Times New Roman" w:eastAsia="Times New Roman" w:hAnsi="Times New Roman" w:cs="Times New Roman"/>
          <w:b/>
          <w:bCs/>
          <w:sz w:val="24"/>
          <w:szCs w:val="24"/>
          <w:lang w:eastAsia="it-IT"/>
        </w:rPr>
        <w:t>disortografia</w:t>
      </w:r>
      <w:proofErr w:type="spellEnd"/>
      <w:r w:rsidRPr="0095789F">
        <w:rPr>
          <w:rFonts w:ascii="Times New Roman" w:eastAsia="Times New Roman" w:hAnsi="Times New Roman" w:cs="Times New Roman"/>
          <w:b/>
          <w:bCs/>
          <w:sz w:val="24"/>
          <w:szCs w:val="24"/>
          <w:lang w:eastAsia="it-IT"/>
        </w:rPr>
        <w:t xml:space="preserve"> e </w:t>
      </w:r>
      <w:proofErr w:type="spellStart"/>
      <w:r w:rsidRPr="0095789F">
        <w:rPr>
          <w:rFonts w:ascii="Times New Roman" w:eastAsia="Times New Roman" w:hAnsi="Times New Roman" w:cs="Times New Roman"/>
          <w:b/>
          <w:bCs/>
          <w:sz w:val="24"/>
          <w:szCs w:val="24"/>
          <w:lang w:eastAsia="it-IT"/>
        </w:rPr>
        <w:t>discalculia</w:t>
      </w:r>
      <w:proofErr w:type="spellEnd"/>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 xml:space="preserve">1. La presente legge riconosce la dislessia, la disgrafia, la </w:t>
      </w:r>
      <w:proofErr w:type="spellStart"/>
      <w:r w:rsidRPr="0095789F">
        <w:rPr>
          <w:rFonts w:ascii="Times New Roman" w:eastAsia="Times New Roman" w:hAnsi="Times New Roman" w:cs="Times New Roman"/>
          <w:sz w:val="24"/>
          <w:szCs w:val="24"/>
          <w:lang w:eastAsia="it-IT"/>
        </w:rPr>
        <w:t>disortografia</w:t>
      </w:r>
      <w:proofErr w:type="spellEnd"/>
      <w:r w:rsidRPr="0095789F">
        <w:rPr>
          <w:rFonts w:ascii="Times New Roman" w:eastAsia="Times New Roman" w:hAnsi="Times New Roman" w:cs="Times New Roman"/>
          <w:sz w:val="24"/>
          <w:szCs w:val="24"/>
          <w:lang w:eastAsia="it-IT"/>
        </w:rPr>
        <w:t xml:space="preserve"> e la </w:t>
      </w:r>
      <w:proofErr w:type="spellStart"/>
      <w:r w:rsidRPr="0095789F">
        <w:rPr>
          <w:rFonts w:ascii="Times New Roman" w:eastAsia="Times New Roman" w:hAnsi="Times New Roman" w:cs="Times New Roman"/>
          <w:sz w:val="24"/>
          <w:szCs w:val="24"/>
          <w:lang w:eastAsia="it-IT"/>
        </w:rPr>
        <w:t>discalculia</w:t>
      </w:r>
      <w:proofErr w:type="spellEnd"/>
      <w:r w:rsidRPr="0095789F">
        <w:rPr>
          <w:rFonts w:ascii="Times New Roman" w:eastAsia="Times New Roman" w:hAnsi="Times New Roman" w:cs="Times New Roman"/>
          <w:sz w:val="24"/>
          <w:szCs w:val="24"/>
          <w:lang w:eastAsia="it-IT"/>
        </w:rPr>
        <w:t xml:space="preserve"> quali disturbi specifici di apprendimento, di seguito denominati “DSA”, che si manifestano in presenza di </w:t>
      </w:r>
      <w:proofErr w:type="spellStart"/>
      <w:r w:rsidRPr="0095789F">
        <w:rPr>
          <w:rFonts w:ascii="Times New Roman" w:eastAsia="Times New Roman" w:hAnsi="Times New Roman" w:cs="Times New Roman"/>
          <w:sz w:val="24"/>
          <w:szCs w:val="24"/>
          <w:lang w:eastAsia="it-IT"/>
        </w:rPr>
        <w:t>capacita’</w:t>
      </w:r>
      <w:proofErr w:type="spellEnd"/>
      <w:r w:rsidRPr="0095789F">
        <w:rPr>
          <w:rFonts w:ascii="Times New Roman" w:eastAsia="Times New Roman" w:hAnsi="Times New Roman" w:cs="Times New Roman"/>
          <w:sz w:val="24"/>
          <w:szCs w:val="24"/>
          <w:lang w:eastAsia="it-IT"/>
        </w:rPr>
        <w:t xml:space="preserve"> cognitive adeguate, in assenza di patologie neurologiche e di deficit sensoriali, ma possono costituire una limitazione importante per alcune </w:t>
      </w:r>
      <w:proofErr w:type="spellStart"/>
      <w:r w:rsidRPr="0095789F">
        <w:rPr>
          <w:rFonts w:ascii="Times New Roman" w:eastAsia="Times New Roman" w:hAnsi="Times New Roman" w:cs="Times New Roman"/>
          <w:sz w:val="24"/>
          <w:szCs w:val="24"/>
          <w:lang w:eastAsia="it-IT"/>
        </w:rPr>
        <w:t>attivita’</w:t>
      </w:r>
      <w:proofErr w:type="spellEnd"/>
      <w:r w:rsidRPr="0095789F">
        <w:rPr>
          <w:rFonts w:ascii="Times New Roman" w:eastAsia="Times New Roman" w:hAnsi="Times New Roman" w:cs="Times New Roman"/>
          <w:sz w:val="24"/>
          <w:szCs w:val="24"/>
          <w:lang w:eastAsia="it-IT"/>
        </w:rPr>
        <w:t xml:space="preserve"> della vita quotidiana.</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 xml:space="preserve">2. Ai fini della presente legge, si intende per dislessia un disturbo specifico che si manifesta con una </w:t>
      </w:r>
      <w:proofErr w:type="spellStart"/>
      <w:r w:rsidRPr="0095789F">
        <w:rPr>
          <w:rFonts w:ascii="Times New Roman" w:eastAsia="Times New Roman" w:hAnsi="Times New Roman" w:cs="Times New Roman"/>
          <w:sz w:val="24"/>
          <w:szCs w:val="24"/>
          <w:lang w:eastAsia="it-IT"/>
        </w:rPr>
        <w:t>difficolta’</w:t>
      </w:r>
      <w:proofErr w:type="spellEnd"/>
      <w:r w:rsidRPr="0095789F">
        <w:rPr>
          <w:rFonts w:ascii="Times New Roman" w:eastAsia="Times New Roman" w:hAnsi="Times New Roman" w:cs="Times New Roman"/>
          <w:sz w:val="24"/>
          <w:szCs w:val="24"/>
          <w:lang w:eastAsia="it-IT"/>
        </w:rPr>
        <w:t xml:space="preserve"> nell’imparare a leggere, in particolare nella decifrazione dei segni linguistici, ovvero nella correttezza e nella </w:t>
      </w:r>
      <w:proofErr w:type="spellStart"/>
      <w:r w:rsidRPr="0095789F">
        <w:rPr>
          <w:rFonts w:ascii="Times New Roman" w:eastAsia="Times New Roman" w:hAnsi="Times New Roman" w:cs="Times New Roman"/>
          <w:sz w:val="24"/>
          <w:szCs w:val="24"/>
          <w:lang w:eastAsia="it-IT"/>
        </w:rPr>
        <w:t>rapidita’</w:t>
      </w:r>
      <w:proofErr w:type="spellEnd"/>
      <w:r w:rsidRPr="0095789F">
        <w:rPr>
          <w:rFonts w:ascii="Times New Roman" w:eastAsia="Times New Roman" w:hAnsi="Times New Roman" w:cs="Times New Roman"/>
          <w:sz w:val="24"/>
          <w:szCs w:val="24"/>
          <w:lang w:eastAsia="it-IT"/>
        </w:rPr>
        <w:t xml:space="preserve"> della lettura.</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 xml:space="preserve">3. Ai fini della presente legge, si intende per disgrafia un disturbo specifico di scrittura che si manifesta in </w:t>
      </w:r>
      <w:proofErr w:type="spellStart"/>
      <w:r w:rsidRPr="0095789F">
        <w:rPr>
          <w:rFonts w:ascii="Times New Roman" w:eastAsia="Times New Roman" w:hAnsi="Times New Roman" w:cs="Times New Roman"/>
          <w:sz w:val="24"/>
          <w:szCs w:val="24"/>
          <w:lang w:eastAsia="it-IT"/>
        </w:rPr>
        <w:t>difficolta’</w:t>
      </w:r>
      <w:proofErr w:type="spellEnd"/>
      <w:r w:rsidRPr="0095789F">
        <w:rPr>
          <w:rFonts w:ascii="Times New Roman" w:eastAsia="Times New Roman" w:hAnsi="Times New Roman" w:cs="Times New Roman"/>
          <w:sz w:val="24"/>
          <w:szCs w:val="24"/>
          <w:lang w:eastAsia="it-IT"/>
        </w:rPr>
        <w:t xml:space="preserve"> nella realizzazione grafica.</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 xml:space="preserve">4. Ai fini della presente legge, si intende per </w:t>
      </w:r>
      <w:proofErr w:type="spellStart"/>
      <w:r w:rsidRPr="0095789F">
        <w:rPr>
          <w:rFonts w:ascii="Times New Roman" w:eastAsia="Times New Roman" w:hAnsi="Times New Roman" w:cs="Times New Roman"/>
          <w:sz w:val="24"/>
          <w:szCs w:val="24"/>
          <w:lang w:eastAsia="it-IT"/>
        </w:rPr>
        <w:t>disortografia</w:t>
      </w:r>
      <w:proofErr w:type="spellEnd"/>
      <w:r w:rsidRPr="0095789F">
        <w:rPr>
          <w:rFonts w:ascii="Times New Roman" w:eastAsia="Times New Roman" w:hAnsi="Times New Roman" w:cs="Times New Roman"/>
          <w:sz w:val="24"/>
          <w:szCs w:val="24"/>
          <w:lang w:eastAsia="it-IT"/>
        </w:rPr>
        <w:t xml:space="preserve"> un disturbo specifico di scrittura che si manifesta in </w:t>
      </w:r>
      <w:proofErr w:type="spellStart"/>
      <w:r w:rsidRPr="0095789F">
        <w:rPr>
          <w:rFonts w:ascii="Times New Roman" w:eastAsia="Times New Roman" w:hAnsi="Times New Roman" w:cs="Times New Roman"/>
          <w:sz w:val="24"/>
          <w:szCs w:val="24"/>
          <w:lang w:eastAsia="it-IT"/>
        </w:rPr>
        <w:t>difficolta’</w:t>
      </w:r>
      <w:proofErr w:type="spellEnd"/>
      <w:r w:rsidRPr="0095789F">
        <w:rPr>
          <w:rFonts w:ascii="Times New Roman" w:eastAsia="Times New Roman" w:hAnsi="Times New Roman" w:cs="Times New Roman"/>
          <w:sz w:val="24"/>
          <w:szCs w:val="24"/>
          <w:lang w:eastAsia="it-IT"/>
        </w:rPr>
        <w:t xml:space="preserve"> nei processi linguistici di transcodifica.</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 xml:space="preserve">5. Ai fini della presente legge, si intende per </w:t>
      </w:r>
      <w:proofErr w:type="spellStart"/>
      <w:r w:rsidRPr="0095789F">
        <w:rPr>
          <w:rFonts w:ascii="Times New Roman" w:eastAsia="Times New Roman" w:hAnsi="Times New Roman" w:cs="Times New Roman"/>
          <w:sz w:val="24"/>
          <w:szCs w:val="24"/>
          <w:lang w:eastAsia="it-IT"/>
        </w:rPr>
        <w:t>discalculia</w:t>
      </w:r>
      <w:proofErr w:type="spellEnd"/>
      <w:r w:rsidRPr="0095789F">
        <w:rPr>
          <w:rFonts w:ascii="Times New Roman" w:eastAsia="Times New Roman" w:hAnsi="Times New Roman" w:cs="Times New Roman"/>
          <w:sz w:val="24"/>
          <w:szCs w:val="24"/>
          <w:lang w:eastAsia="it-IT"/>
        </w:rPr>
        <w:t xml:space="preserve"> un disturbo specifico che si manifesta con una </w:t>
      </w:r>
      <w:proofErr w:type="spellStart"/>
      <w:r w:rsidRPr="0095789F">
        <w:rPr>
          <w:rFonts w:ascii="Times New Roman" w:eastAsia="Times New Roman" w:hAnsi="Times New Roman" w:cs="Times New Roman"/>
          <w:sz w:val="24"/>
          <w:szCs w:val="24"/>
          <w:lang w:eastAsia="it-IT"/>
        </w:rPr>
        <w:t>difficolta’</w:t>
      </w:r>
      <w:proofErr w:type="spellEnd"/>
      <w:r w:rsidRPr="0095789F">
        <w:rPr>
          <w:rFonts w:ascii="Times New Roman" w:eastAsia="Times New Roman" w:hAnsi="Times New Roman" w:cs="Times New Roman"/>
          <w:sz w:val="24"/>
          <w:szCs w:val="24"/>
          <w:lang w:eastAsia="it-IT"/>
        </w:rPr>
        <w:t xml:space="preserve"> negli automatismi del calcolo e dell’elaborazione dei numeri.</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 xml:space="preserve">6. La dislessia, la disgrafia, la </w:t>
      </w:r>
      <w:proofErr w:type="spellStart"/>
      <w:r w:rsidRPr="0095789F">
        <w:rPr>
          <w:rFonts w:ascii="Times New Roman" w:eastAsia="Times New Roman" w:hAnsi="Times New Roman" w:cs="Times New Roman"/>
          <w:sz w:val="24"/>
          <w:szCs w:val="24"/>
          <w:lang w:eastAsia="it-IT"/>
        </w:rPr>
        <w:t>disortografia</w:t>
      </w:r>
      <w:proofErr w:type="spellEnd"/>
      <w:r w:rsidRPr="0095789F">
        <w:rPr>
          <w:rFonts w:ascii="Times New Roman" w:eastAsia="Times New Roman" w:hAnsi="Times New Roman" w:cs="Times New Roman"/>
          <w:sz w:val="24"/>
          <w:szCs w:val="24"/>
          <w:lang w:eastAsia="it-IT"/>
        </w:rPr>
        <w:t xml:space="preserve"> e la </w:t>
      </w:r>
      <w:proofErr w:type="spellStart"/>
      <w:r w:rsidRPr="0095789F">
        <w:rPr>
          <w:rFonts w:ascii="Times New Roman" w:eastAsia="Times New Roman" w:hAnsi="Times New Roman" w:cs="Times New Roman"/>
          <w:sz w:val="24"/>
          <w:szCs w:val="24"/>
          <w:lang w:eastAsia="it-IT"/>
        </w:rPr>
        <w:t>discalculia</w:t>
      </w:r>
      <w:proofErr w:type="spellEnd"/>
      <w:r w:rsidRPr="0095789F">
        <w:rPr>
          <w:rFonts w:ascii="Times New Roman" w:eastAsia="Times New Roman" w:hAnsi="Times New Roman" w:cs="Times New Roman"/>
          <w:sz w:val="24"/>
          <w:szCs w:val="24"/>
          <w:lang w:eastAsia="it-IT"/>
        </w:rPr>
        <w:t xml:space="preserve"> possono sussistere separatamente o insieme.</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7. Nell’interpretazione delle definizioni di cui ai commi da 2 a 5, si tiene conto dell’evoluzione delle conoscenze scientifiche in materia.</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b/>
          <w:bCs/>
          <w:sz w:val="24"/>
          <w:szCs w:val="24"/>
          <w:lang w:eastAsia="it-IT"/>
        </w:rPr>
        <w:t xml:space="preserve">Art. 2 – </w:t>
      </w:r>
      <w:proofErr w:type="spellStart"/>
      <w:r w:rsidRPr="0095789F">
        <w:rPr>
          <w:rFonts w:ascii="Times New Roman" w:eastAsia="Times New Roman" w:hAnsi="Times New Roman" w:cs="Times New Roman"/>
          <w:b/>
          <w:bCs/>
          <w:sz w:val="24"/>
          <w:szCs w:val="24"/>
          <w:lang w:eastAsia="it-IT"/>
        </w:rPr>
        <w:t>Finalita’</w:t>
      </w:r>
      <w:proofErr w:type="spellEnd"/>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 xml:space="preserve">1. La presente legge persegue, per le persone con DSA, le seguenti </w:t>
      </w:r>
      <w:proofErr w:type="spellStart"/>
      <w:r w:rsidRPr="0095789F">
        <w:rPr>
          <w:rFonts w:ascii="Times New Roman" w:eastAsia="Times New Roman" w:hAnsi="Times New Roman" w:cs="Times New Roman"/>
          <w:sz w:val="24"/>
          <w:szCs w:val="24"/>
          <w:lang w:eastAsia="it-IT"/>
        </w:rPr>
        <w:t>finalita’</w:t>
      </w:r>
      <w:proofErr w:type="spellEnd"/>
      <w:r w:rsidRPr="0095789F">
        <w:rPr>
          <w:rFonts w:ascii="Times New Roman" w:eastAsia="Times New Roman" w:hAnsi="Times New Roman" w:cs="Times New Roman"/>
          <w:sz w:val="24"/>
          <w:szCs w:val="24"/>
          <w:lang w:eastAsia="it-IT"/>
        </w:rPr>
        <w:t>:</w:t>
      </w:r>
      <w:r w:rsidRPr="0095789F">
        <w:rPr>
          <w:rFonts w:ascii="Times New Roman" w:eastAsia="Times New Roman" w:hAnsi="Times New Roman" w:cs="Times New Roman"/>
          <w:sz w:val="24"/>
          <w:szCs w:val="24"/>
          <w:lang w:eastAsia="it-IT"/>
        </w:rPr>
        <w:br/>
        <w:t>a) garantire il diritto all’istruzione;</w:t>
      </w:r>
      <w:r w:rsidRPr="0095789F">
        <w:rPr>
          <w:rFonts w:ascii="Times New Roman" w:eastAsia="Times New Roman" w:hAnsi="Times New Roman" w:cs="Times New Roman"/>
          <w:sz w:val="24"/>
          <w:szCs w:val="24"/>
          <w:lang w:eastAsia="it-IT"/>
        </w:rPr>
        <w:br/>
        <w:t xml:space="preserve">b) favorire il successo scolastico, anche attraverso misure didattiche di supporto, garantire una formazione adeguata e promuovere lo sviluppo delle </w:t>
      </w:r>
      <w:proofErr w:type="spellStart"/>
      <w:r w:rsidRPr="0095789F">
        <w:rPr>
          <w:rFonts w:ascii="Times New Roman" w:eastAsia="Times New Roman" w:hAnsi="Times New Roman" w:cs="Times New Roman"/>
          <w:sz w:val="24"/>
          <w:szCs w:val="24"/>
          <w:lang w:eastAsia="it-IT"/>
        </w:rPr>
        <w:t>potenzialita’</w:t>
      </w:r>
      <w:proofErr w:type="spellEnd"/>
      <w:r w:rsidRPr="0095789F">
        <w:rPr>
          <w:rFonts w:ascii="Times New Roman" w:eastAsia="Times New Roman" w:hAnsi="Times New Roman" w:cs="Times New Roman"/>
          <w:sz w:val="24"/>
          <w:szCs w:val="24"/>
          <w:lang w:eastAsia="it-IT"/>
        </w:rPr>
        <w:t>;</w:t>
      </w:r>
      <w:r w:rsidRPr="0095789F">
        <w:rPr>
          <w:rFonts w:ascii="Times New Roman" w:eastAsia="Times New Roman" w:hAnsi="Times New Roman" w:cs="Times New Roman"/>
          <w:sz w:val="24"/>
          <w:szCs w:val="24"/>
          <w:lang w:eastAsia="it-IT"/>
        </w:rPr>
        <w:br/>
        <w:t>c) ridurre i disagi relazionali ed emozionali;</w:t>
      </w:r>
      <w:r w:rsidRPr="0095789F">
        <w:rPr>
          <w:rFonts w:ascii="Times New Roman" w:eastAsia="Times New Roman" w:hAnsi="Times New Roman" w:cs="Times New Roman"/>
          <w:sz w:val="24"/>
          <w:szCs w:val="24"/>
          <w:lang w:eastAsia="it-IT"/>
        </w:rPr>
        <w:br/>
        <w:t xml:space="preserve">d) adottare forme di verifica e di valutazione adeguate alle </w:t>
      </w:r>
      <w:proofErr w:type="spellStart"/>
      <w:r w:rsidRPr="0095789F">
        <w:rPr>
          <w:rFonts w:ascii="Times New Roman" w:eastAsia="Times New Roman" w:hAnsi="Times New Roman" w:cs="Times New Roman"/>
          <w:sz w:val="24"/>
          <w:szCs w:val="24"/>
          <w:lang w:eastAsia="it-IT"/>
        </w:rPr>
        <w:t>necessita’</w:t>
      </w:r>
      <w:proofErr w:type="spellEnd"/>
      <w:r w:rsidRPr="0095789F">
        <w:rPr>
          <w:rFonts w:ascii="Times New Roman" w:eastAsia="Times New Roman" w:hAnsi="Times New Roman" w:cs="Times New Roman"/>
          <w:sz w:val="24"/>
          <w:szCs w:val="24"/>
          <w:lang w:eastAsia="it-IT"/>
        </w:rPr>
        <w:t xml:space="preserve"> formative degli studenti;</w:t>
      </w:r>
      <w:r w:rsidRPr="0095789F">
        <w:rPr>
          <w:rFonts w:ascii="Times New Roman" w:eastAsia="Times New Roman" w:hAnsi="Times New Roman" w:cs="Times New Roman"/>
          <w:sz w:val="24"/>
          <w:szCs w:val="24"/>
          <w:lang w:eastAsia="it-IT"/>
        </w:rPr>
        <w:br/>
        <w:t>e) preparare gli insegnanti e sensibilizzare i genitori nei confronti delle problematiche legate ai DSA;</w:t>
      </w:r>
      <w:r w:rsidRPr="0095789F">
        <w:rPr>
          <w:rFonts w:ascii="Times New Roman" w:eastAsia="Times New Roman" w:hAnsi="Times New Roman" w:cs="Times New Roman"/>
          <w:sz w:val="24"/>
          <w:szCs w:val="24"/>
          <w:lang w:eastAsia="it-IT"/>
        </w:rPr>
        <w:br/>
        <w:t>f) favorire la diagnosi precoce e percorsi didattici riabilitativi;</w:t>
      </w:r>
      <w:r w:rsidRPr="0095789F">
        <w:rPr>
          <w:rFonts w:ascii="Times New Roman" w:eastAsia="Times New Roman" w:hAnsi="Times New Roman" w:cs="Times New Roman"/>
          <w:sz w:val="24"/>
          <w:szCs w:val="24"/>
          <w:lang w:eastAsia="it-IT"/>
        </w:rPr>
        <w:br/>
        <w:t xml:space="preserve">g) incrementare la comunicazione e la collaborazione tra famiglia, scuola e servizi sanitari durante </w:t>
      </w:r>
      <w:r w:rsidRPr="0095789F">
        <w:rPr>
          <w:rFonts w:ascii="Times New Roman" w:eastAsia="Times New Roman" w:hAnsi="Times New Roman" w:cs="Times New Roman"/>
          <w:sz w:val="24"/>
          <w:szCs w:val="24"/>
          <w:lang w:eastAsia="it-IT"/>
        </w:rPr>
        <w:lastRenderedPageBreak/>
        <w:t>il percorso di istruzione e di formazione;</w:t>
      </w:r>
      <w:r w:rsidRPr="0095789F">
        <w:rPr>
          <w:rFonts w:ascii="Times New Roman" w:eastAsia="Times New Roman" w:hAnsi="Times New Roman" w:cs="Times New Roman"/>
          <w:sz w:val="24"/>
          <w:szCs w:val="24"/>
          <w:lang w:eastAsia="it-IT"/>
        </w:rPr>
        <w:br/>
        <w:t xml:space="preserve">h) assicurare eguali </w:t>
      </w:r>
      <w:proofErr w:type="spellStart"/>
      <w:r w:rsidRPr="0095789F">
        <w:rPr>
          <w:rFonts w:ascii="Times New Roman" w:eastAsia="Times New Roman" w:hAnsi="Times New Roman" w:cs="Times New Roman"/>
          <w:sz w:val="24"/>
          <w:szCs w:val="24"/>
          <w:lang w:eastAsia="it-IT"/>
        </w:rPr>
        <w:t>opportunita’</w:t>
      </w:r>
      <w:proofErr w:type="spellEnd"/>
      <w:r w:rsidRPr="0095789F">
        <w:rPr>
          <w:rFonts w:ascii="Times New Roman" w:eastAsia="Times New Roman" w:hAnsi="Times New Roman" w:cs="Times New Roman"/>
          <w:sz w:val="24"/>
          <w:szCs w:val="24"/>
          <w:lang w:eastAsia="it-IT"/>
        </w:rPr>
        <w:t xml:space="preserve"> di sviluppo delle </w:t>
      </w:r>
      <w:proofErr w:type="spellStart"/>
      <w:r w:rsidRPr="0095789F">
        <w:rPr>
          <w:rFonts w:ascii="Times New Roman" w:eastAsia="Times New Roman" w:hAnsi="Times New Roman" w:cs="Times New Roman"/>
          <w:sz w:val="24"/>
          <w:szCs w:val="24"/>
          <w:lang w:eastAsia="it-IT"/>
        </w:rPr>
        <w:t>capacita’</w:t>
      </w:r>
      <w:proofErr w:type="spellEnd"/>
      <w:r w:rsidRPr="0095789F">
        <w:rPr>
          <w:rFonts w:ascii="Times New Roman" w:eastAsia="Times New Roman" w:hAnsi="Times New Roman" w:cs="Times New Roman"/>
          <w:sz w:val="24"/>
          <w:szCs w:val="24"/>
          <w:lang w:eastAsia="it-IT"/>
        </w:rPr>
        <w:t xml:space="preserve"> in ambito sociale e professionale.</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b/>
          <w:bCs/>
          <w:sz w:val="24"/>
          <w:szCs w:val="24"/>
          <w:lang w:eastAsia="it-IT"/>
        </w:rPr>
        <w:t>Art. 3 – Diagnosi</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 xml:space="preserve">1. La diagnosi dei DSA e’ effettuata nell’ambito dei trattamenti specialistici </w:t>
      </w:r>
      <w:proofErr w:type="spellStart"/>
      <w:r w:rsidRPr="0095789F">
        <w:rPr>
          <w:rFonts w:ascii="Times New Roman" w:eastAsia="Times New Roman" w:hAnsi="Times New Roman" w:cs="Times New Roman"/>
          <w:sz w:val="24"/>
          <w:szCs w:val="24"/>
          <w:lang w:eastAsia="it-IT"/>
        </w:rPr>
        <w:t>gia’</w:t>
      </w:r>
      <w:proofErr w:type="spellEnd"/>
      <w:r w:rsidRPr="0095789F">
        <w:rPr>
          <w:rFonts w:ascii="Times New Roman" w:eastAsia="Times New Roman" w:hAnsi="Times New Roman" w:cs="Times New Roman"/>
          <w:sz w:val="24"/>
          <w:szCs w:val="24"/>
          <w:lang w:eastAsia="it-IT"/>
        </w:rPr>
        <w:t xml:space="preserve"> assicurati dal Servizio sanitario nazionale a legislazione vigente ed e’ comunicata dalla famiglia alla scuola di appartenenza dello studente. Le regioni nel cui territorio non sia possibile effettuare la diagnosi nell’ambito dei trattamenti specialistici erogati dal Servizio sanitario nazionale possono prevedere, nei limiti delle risorse umane, strumentali e finanziarie disponibili a legislazione vigente, che la medesima diagnosi sia effettuata da specialisti o strutture accreditate.</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 xml:space="preserve">2. Per gli studenti che, nonostante adeguate </w:t>
      </w:r>
      <w:proofErr w:type="spellStart"/>
      <w:r w:rsidRPr="0095789F">
        <w:rPr>
          <w:rFonts w:ascii="Times New Roman" w:eastAsia="Times New Roman" w:hAnsi="Times New Roman" w:cs="Times New Roman"/>
          <w:sz w:val="24"/>
          <w:szCs w:val="24"/>
          <w:lang w:eastAsia="it-IT"/>
        </w:rPr>
        <w:t>attivita’</w:t>
      </w:r>
      <w:proofErr w:type="spellEnd"/>
      <w:r w:rsidRPr="0095789F">
        <w:rPr>
          <w:rFonts w:ascii="Times New Roman" w:eastAsia="Times New Roman" w:hAnsi="Times New Roman" w:cs="Times New Roman"/>
          <w:sz w:val="24"/>
          <w:szCs w:val="24"/>
          <w:lang w:eastAsia="it-IT"/>
        </w:rPr>
        <w:t xml:space="preserve"> di recupero didattico mirato, presentano persistenti </w:t>
      </w:r>
      <w:proofErr w:type="spellStart"/>
      <w:r w:rsidRPr="0095789F">
        <w:rPr>
          <w:rFonts w:ascii="Times New Roman" w:eastAsia="Times New Roman" w:hAnsi="Times New Roman" w:cs="Times New Roman"/>
          <w:sz w:val="24"/>
          <w:szCs w:val="24"/>
          <w:lang w:eastAsia="it-IT"/>
        </w:rPr>
        <w:t>difficolta’</w:t>
      </w:r>
      <w:proofErr w:type="spellEnd"/>
      <w:r w:rsidRPr="0095789F">
        <w:rPr>
          <w:rFonts w:ascii="Times New Roman" w:eastAsia="Times New Roman" w:hAnsi="Times New Roman" w:cs="Times New Roman"/>
          <w:sz w:val="24"/>
          <w:szCs w:val="24"/>
          <w:lang w:eastAsia="it-IT"/>
        </w:rPr>
        <w:t>, la scuola trasmette apposita comunicazione alla famiglia.</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 xml:space="preserve">3. E’ compito delle scuole di ogni ordine e grado, comprese le scuole dell’infanzia, attivare, previa apposita comunicazione alle famiglie interessate, interventi tempestivi, idonei ad individuare i casi sospetti di DSA degli studenti, sulla base dei protocolli regionali di cui all’articolo 7, comma 1. L’esito di tali </w:t>
      </w:r>
      <w:proofErr w:type="spellStart"/>
      <w:r w:rsidRPr="0095789F">
        <w:rPr>
          <w:rFonts w:ascii="Times New Roman" w:eastAsia="Times New Roman" w:hAnsi="Times New Roman" w:cs="Times New Roman"/>
          <w:sz w:val="24"/>
          <w:szCs w:val="24"/>
          <w:lang w:eastAsia="it-IT"/>
        </w:rPr>
        <w:t>attivita’</w:t>
      </w:r>
      <w:proofErr w:type="spellEnd"/>
      <w:r w:rsidRPr="0095789F">
        <w:rPr>
          <w:rFonts w:ascii="Times New Roman" w:eastAsia="Times New Roman" w:hAnsi="Times New Roman" w:cs="Times New Roman"/>
          <w:sz w:val="24"/>
          <w:szCs w:val="24"/>
          <w:lang w:eastAsia="it-IT"/>
        </w:rPr>
        <w:t xml:space="preserve"> non costituisce, comunque, una diagnosi di DSA.</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b/>
          <w:bCs/>
          <w:sz w:val="24"/>
          <w:szCs w:val="24"/>
          <w:lang w:eastAsia="it-IT"/>
        </w:rPr>
        <w:t>Art. 4 – Formazione nella scuola</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 xml:space="preserve">1. Per gli anni 2010 e 2011, nell’ambito dei programmi di formazione del personale docente e dirigenziale delle scuole di ogni ordine e grado, comprese le scuole dell’infanzia, e’ assicurata un’adeguata preparazione riguardo alle problematiche relative ai DSA, finalizzata ad acquisire la competenza per individuarne precocemente i segnali e la conseguente </w:t>
      </w:r>
      <w:proofErr w:type="spellStart"/>
      <w:r w:rsidRPr="0095789F">
        <w:rPr>
          <w:rFonts w:ascii="Times New Roman" w:eastAsia="Times New Roman" w:hAnsi="Times New Roman" w:cs="Times New Roman"/>
          <w:sz w:val="24"/>
          <w:szCs w:val="24"/>
          <w:lang w:eastAsia="it-IT"/>
        </w:rPr>
        <w:t>capacita’</w:t>
      </w:r>
      <w:proofErr w:type="spellEnd"/>
      <w:r w:rsidRPr="0095789F">
        <w:rPr>
          <w:rFonts w:ascii="Times New Roman" w:eastAsia="Times New Roman" w:hAnsi="Times New Roman" w:cs="Times New Roman"/>
          <w:sz w:val="24"/>
          <w:szCs w:val="24"/>
          <w:lang w:eastAsia="it-IT"/>
        </w:rPr>
        <w:t xml:space="preserve"> di applicare strategie didattiche, metodologiche e valutative adeguate.</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 xml:space="preserve">2. Per le </w:t>
      </w:r>
      <w:proofErr w:type="spellStart"/>
      <w:r w:rsidRPr="0095789F">
        <w:rPr>
          <w:rFonts w:ascii="Times New Roman" w:eastAsia="Times New Roman" w:hAnsi="Times New Roman" w:cs="Times New Roman"/>
          <w:sz w:val="24"/>
          <w:szCs w:val="24"/>
          <w:lang w:eastAsia="it-IT"/>
        </w:rPr>
        <w:t>finalita’</w:t>
      </w:r>
      <w:proofErr w:type="spellEnd"/>
      <w:r w:rsidRPr="0095789F">
        <w:rPr>
          <w:rFonts w:ascii="Times New Roman" w:eastAsia="Times New Roman" w:hAnsi="Times New Roman" w:cs="Times New Roman"/>
          <w:sz w:val="24"/>
          <w:szCs w:val="24"/>
          <w:lang w:eastAsia="it-IT"/>
        </w:rPr>
        <w:t xml:space="preserve"> di cui al comma 1 e’ autorizzata una spesa pari a un milione di euro per ciascuno degli anni 2010 e 2011. Al relativo onere si provvede mediante corrispondente utilizzo del Fondo di riserva per le autorizzazioni di spesa delle leggi permanenti di natura corrente iscritto nello stato di previsione del Ministero dell’economia e delle finanze, come determinato, dalla Tabella C allegata alla legge 23 dicembre 2009, n. 191.</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b/>
          <w:bCs/>
          <w:sz w:val="24"/>
          <w:szCs w:val="24"/>
          <w:lang w:eastAsia="it-IT"/>
        </w:rPr>
        <w:t>Art. 5 – Misure educative e didattiche di supporto</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 xml:space="preserve">1. Gli studenti con diagnosi di DSA hanno diritto a fruire di appositi provvedimenti dispensativi e compensativi di </w:t>
      </w:r>
      <w:proofErr w:type="spellStart"/>
      <w:r w:rsidRPr="0095789F">
        <w:rPr>
          <w:rFonts w:ascii="Times New Roman" w:eastAsia="Times New Roman" w:hAnsi="Times New Roman" w:cs="Times New Roman"/>
          <w:sz w:val="24"/>
          <w:szCs w:val="24"/>
          <w:lang w:eastAsia="it-IT"/>
        </w:rPr>
        <w:t>flessibilita’</w:t>
      </w:r>
      <w:proofErr w:type="spellEnd"/>
      <w:r w:rsidRPr="0095789F">
        <w:rPr>
          <w:rFonts w:ascii="Times New Roman" w:eastAsia="Times New Roman" w:hAnsi="Times New Roman" w:cs="Times New Roman"/>
          <w:sz w:val="24"/>
          <w:szCs w:val="24"/>
          <w:lang w:eastAsia="it-IT"/>
        </w:rPr>
        <w:t xml:space="preserve"> didattica nel corso dei cicli di istruzione e formazione e negli studi universitari.</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2. Agli studenti con DSA le istituzioni scolastiche, a valere sulle risorse specifiche e disponibili a legislazione vigente iscritte nello stato di previsione del Ministero dell’istruzione, dell’</w:t>
      </w:r>
      <w:proofErr w:type="spellStart"/>
      <w:r w:rsidRPr="0095789F">
        <w:rPr>
          <w:rFonts w:ascii="Times New Roman" w:eastAsia="Times New Roman" w:hAnsi="Times New Roman" w:cs="Times New Roman"/>
          <w:sz w:val="24"/>
          <w:szCs w:val="24"/>
          <w:lang w:eastAsia="it-IT"/>
        </w:rPr>
        <w:t>universita</w:t>
      </w:r>
      <w:proofErr w:type="spellEnd"/>
      <w:r w:rsidRPr="0095789F">
        <w:rPr>
          <w:rFonts w:ascii="Times New Roman" w:eastAsia="Times New Roman" w:hAnsi="Times New Roman" w:cs="Times New Roman"/>
          <w:sz w:val="24"/>
          <w:szCs w:val="24"/>
          <w:lang w:eastAsia="it-IT"/>
        </w:rPr>
        <w:t>’ e della ricerca, garantiscono:</w:t>
      </w:r>
      <w:r w:rsidRPr="0095789F">
        <w:rPr>
          <w:rFonts w:ascii="Times New Roman" w:eastAsia="Times New Roman" w:hAnsi="Times New Roman" w:cs="Times New Roman"/>
          <w:sz w:val="24"/>
          <w:szCs w:val="24"/>
          <w:lang w:eastAsia="it-IT"/>
        </w:rPr>
        <w:br/>
        <w:t>a) l’uso di una didattica individualizzata e personalizzata, con forme efficaci e flessibili di lavoro scolastico che tengano conto anche di caratteristiche peculiari dei soggetti, quali il bilinguismo, adottando una metodologia e una strategia educativa adeguate;</w:t>
      </w:r>
      <w:r w:rsidRPr="0095789F">
        <w:rPr>
          <w:rFonts w:ascii="Times New Roman" w:eastAsia="Times New Roman" w:hAnsi="Times New Roman" w:cs="Times New Roman"/>
          <w:sz w:val="24"/>
          <w:szCs w:val="24"/>
          <w:lang w:eastAsia="it-IT"/>
        </w:rPr>
        <w:br/>
        <w:t xml:space="preserve">b) l’introduzione di strumenti compensativi, compresi i mezzi di apprendimento alternativi e le tecnologie informatiche, </w:t>
      </w:r>
      <w:proofErr w:type="spellStart"/>
      <w:r w:rsidRPr="0095789F">
        <w:rPr>
          <w:rFonts w:ascii="Times New Roman" w:eastAsia="Times New Roman" w:hAnsi="Times New Roman" w:cs="Times New Roman"/>
          <w:sz w:val="24"/>
          <w:szCs w:val="24"/>
          <w:lang w:eastAsia="it-IT"/>
        </w:rPr>
        <w:t>nonche’</w:t>
      </w:r>
      <w:proofErr w:type="spellEnd"/>
      <w:r w:rsidRPr="0095789F">
        <w:rPr>
          <w:rFonts w:ascii="Times New Roman" w:eastAsia="Times New Roman" w:hAnsi="Times New Roman" w:cs="Times New Roman"/>
          <w:sz w:val="24"/>
          <w:szCs w:val="24"/>
          <w:lang w:eastAsia="it-IT"/>
        </w:rPr>
        <w:t xml:space="preserve"> misure </w:t>
      </w:r>
      <w:proofErr w:type="spellStart"/>
      <w:r w:rsidRPr="0095789F">
        <w:rPr>
          <w:rFonts w:ascii="Times New Roman" w:eastAsia="Times New Roman" w:hAnsi="Times New Roman" w:cs="Times New Roman"/>
          <w:sz w:val="24"/>
          <w:szCs w:val="24"/>
          <w:lang w:eastAsia="it-IT"/>
        </w:rPr>
        <w:t>dispensative</w:t>
      </w:r>
      <w:proofErr w:type="spellEnd"/>
      <w:r w:rsidRPr="0095789F">
        <w:rPr>
          <w:rFonts w:ascii="Times New Roman" w:eastAsia="Times New Roman" w:hAnsi="Times New Roman" w:cs="Times New Roman"/>
          <w:sz w:val="24"/>
          <w:szCs w:val="24"/>
          <w:lang w:eastAsia="it-IT"/>
        </w:rPr>
        <w:t xml:space="preserve"> da alcune prestazioni non essenziali ai fini della </w:t>
      </w:r>
      <w:proofErr w:type="spellStart"/>
      <w:r w:rsidRPr="0095789F">
        <w:rPr>
          <w:rFonts w:ascii="Times New Roman" w:eastAsia="Times New Roman" w:hAnsi="Times New Roman" w:cs="Times New Roman"/>
          <w:sz w:val="24"/>
          <w:szCs w:val="24"/>
          <w:lang w:eastAsia="it-IT"/>
        </w:rPr>
        <w:t>qualita’</w:t>
      </w:r>
      <w:proofErr w:type="spellEnd"/>
      <w:r w:rsidRPr="0095789F">
        <w:rPr>
          <w:rFonts w:ascii="Times New Roman" w:eastAsia="Times New Roman" w:hAnsi="Times New Roman" w:cs="Times New Roman"/>
          <w:sz w:val="24"/>
          <w:szCs w:val="24"/>
          <w:lang w:eastAsia="it-IT"/>
        </w:rPr>
        <w:t xml:space="preserve"> dei concetti da apprendere;</w:t>
      </w:r>
      <w:r w:rsidRPr="0095789F">
        <w:rPr>
          <w:rFonts w:ascii="Times New Roman" w:eastAsia="Times New Roman" w:hAnsi="Times New Roman" w:cs="Times New Roman"/>
          <w:sz w:val="24"/>
          <w:szCs w:val="24"/>
          <w:lang w:eastAsia="it-IT"/>
        </w:rPr>
        <w:br/>
        <w:t xml:space="preserve">c) per l’insegnamento delle lingue straniere, l’uso di strumenti compensativi che favoriscano la </w:t>
      </w:r>
      <w:r w:rsidRPr="0095789F">
        <w:rPr>
          <w:rFonts w:ascii="Times New Roman" w:eastAsia="Times New Roman" w:hAnsi="Times New Roman" w:cs="Times New Roman"/>
          <w:sz w:val="24"/>
          <w:szCs w:val="24"/>
          <w:lang w:eastAsia="it-IT"/>
        </w:rPr>
        <w:lastRenderedPageBreak/>
        <w:t xml:space="preserve">comunicazione verbale e che assicurino ritmi graduali di apprendimento, prevedendo anche, ove risulti utile, la </w:t>
      </w:r>
      <w:proofErr w:type="spellStart"/>
      <w:r w:rsidRPr="0095789F">
        <w:rPr>
          <w:rFonts w:ascii="Times New Roman" w:eastAsia="Times New Roman" w:hAnsi="Times New Roman" w:cs="Times New Roman"/>
          <w:sz w:val="24"/>
          <w:szCs w:val="24"/>
          <w:lang w:eastAsia="it-IT"/>
        </w:rPr>
        <w:t>possibilita’</w:t>
      </w:r>
      <w:proofErr w:type="spellEnd"/>
      <w:r w:rsidRPr="0095789F">
        <w:rPr>
          <w:rFonts w:ascii="Times New Roman" w:eastAsia="Times New Roman" w:hAnsi="Times New Roman" w:cs="Times New Roman"/>
          <w:sz w:val="24"/>
          <w:szCs w:val="24"/>
          <w:lang w:eastAsia="it-IT"/>
        </w:rPr>
        <w:t xml:space="preserve"> dell’esonero.</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3. Le misure di cui al comma 2 devono essere sottoposte periodicamente a monitoraggio per valutarne l’efficacia e il raggiungimento degli obiettivi.</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4. Agli studenti con DSA sono garantite, durante il percorso di istruzione e di formazione scolastica e universitaria, adeguate forme di verifica e di valutazione, anche per quanto concerne gli esami di Stato e di ammissione all’</w:t>
      </w:r>
      <w:proofErr w:type="spellStart"/>
      <w:r w:rsidRPr="0095789F">
        <w:rPr>
          <w:rFonts w:ascii="Times New Roman" w:eastAsia="Times New Roman" w:hAnsi="Times New Roman" w:cs="Times New Roman"/>
          <w:sz w:val="24"/>
          <w:szCs w:val="24"/>
          <w:lang w:eastAsia="it-IT"/>
        </w:rPr>
        <w:t>universita</w:t>
      </w:r>
      <w:proofErr w:type="spellEnd"/>
      <w:r w:rsidRPr="0095789F">
        <w:rPr>
          <w:rFonts w:ascii="Times New Roman" w:eastAsia="Times New Roman" w:hAnsi="Times New Roman" w:cs="Times New Roman"/>
          <w:sz w:val="24"/>
          <w:szCs w:val="24"/>
          <w:lang w:eastAsia="it-IT"/>
        </w:rPr>
        <w:t xml:space="preserve">’ </w:t>
      </w:r>
      <w:proofErr w:type="spellStart"/>
      <w:r w:rsidRPr="0095789F">
        <w:rPr>
          <w:rFonts w:ascii="Times New Roman" w:eastAsia="Times New Roman" w:hAnsi="Times New Roman" w:cs="Times New Roman"/>
          <w:sz w:val="24"/>
          <w:szCs w:val="24"/>
          <w:lang w:eastAsia="it-IT"/>
        </w:rPr>
        <w:t>nonche’</w:t>
      </w:r>
      <w:proofErr w:type="spellEnd"/>
      <w:r w:rsidRPr="0095789F">
        <w:rPr>
          <w:rFonts w:ascii="Times New Roman" w:eastAsia="Times New Roman" w:hAnsi="Times New Roman" w:cs="Times New Roman"/>
          <w:sz w:val="24"/>
          <w:szCs w:val="24"/>
          <w:lang w:eastAsia="it-IT"/>
        </w:rPr>
        <w:t xml:space="preserve"> gli esami universitari.</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b/>
          <w:bCs/>
          <w:sz w:val="24"/>
          <w:szCs w:val="24"/>
          <w:lang w:eastAsia="it-IT"/>
        </w:rPr>
        <w:t>Art. 6 – Misure per i familiari</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 xml:space="preserve">1. I familiari fino al primo grado di studenti del primo ciclo dell’istruzione con DSA impegnati nell’assistenza alle </w:t>
      </w:r>
      <w:proofErr w:type="spellStart"/>
      <w:r w:rsidRPr="0095789F">
        <w:rPr>
          <w:rFonts w:ascii="Times New Roman" w:eastAsia="Times New Roman" w:hAnsi="Times New Roman" w:cs="Times New Roman"/>
          <w:sz w:val="24"/>
          <w:szCs w:val="24"/>
          <w:lang w:eastAsia="it-IT"/>
        </w:rPr>
        <w:t>attivita’</w:t>
      </w:r>
      <w:proofErr w:type="spellEnd"/>
      <w:r w:rsidRPr="0095789F">
        <w:rPr>
          <w:rFonts w:ascii="Times New Roman" w:eastAsia="Times New Roman" w:hAnsi="Times New Roman" w:cs="Times New Roman"/>
          <w:sz w:val="24"/>
          <w:szCs w:val="24"/>
          <w:lang w:eastAsia="it-IT"/>
        </w:rPr>
        <w:t xml:space="preserve"> scolastiche a casa hanno diritto di usufruire di orari di lavoro flessibili.</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 xml:space="preserve">2. Le </w:t>
      </w:r>
      <w:proofErr w:type="spellStart"/>
      <w:r w:rsidRPr="0095789F">
        <w:rPr>
          <w:rFonts w:ascii="Times New Roman" w:eastAsia="Times New Roman" w:hAnsi="Times New Roman" w:cs="Times New Roman"/>
          <w:sz w:val="24"/>
          <w:szCs w:val="24"/>
          <w:lang w:eastAsia="it-IT"/>
        </w:rPr>
        <w:t>modalita’</w:t>
      </w:r>
      <w:proofErr w:type="spellEnd"/>
      <w:r w:rsidRPr="0095789F">
        <w:rPr>
          <w:rFonts w:ascii="Times New Roman" w:eastAsia="Times New Roman" w:hAnsi="Times New Roman" w:cs="Times New Roman"/>
          <w:sz w:val="24"/>
          <w:szCs w:val="24"/>
          <w:lang w:eastAsia="it-IT"/>
        </w:rPr>
        <w:t xml:space="preserve"> di esercizio del diritto di cui al comma 1 sono determinate dai contratti collettivi nazionali di lavoro dei comparti interessati e non devono comportare nuovi o maggiori oneri a carico della finanza pubblica.</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b/>
          <w:bCs/>
          <w:sz w:val="24"/>
          <w:szCs w:val="24"/>
          <w:lang w:eastAsia="it-IT"/>
        </w:rPr>
        <w:t>Art. 7 – Disposizioni di attuazione</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1. Con decreto del Ministro dell’istruzione, dell’</w:t>
      </w:r>
      <w:proofErr w:type="spellStart"/>
      <w:r w:rsidRPr="0095789F">
        <w:rPr>
          <w:rFonts w:ascii="Times New Roman" w:eastAsia="Times New Roman" w:hAnsi="Times New Roman" w:cs="Times New Roman"/>
          <w:sz w:val="24"/>
          <w:szCs w:val="24"/>
          <w:lang w:eastAsia="it-IT"/>
        </w:rPr>
        <w:t>universita</w:t>
      </w:r>
      <w:proofErr w:type="spellEnd"/>
      <w:r w:rsidRPr="0095789F">
        <w:rPr>
          <w:rFonts w:ascii="Times New Roman" w:eastAsia="Times New Roman" w:hAnsi="Times New Roman" w:cs="Times New Roman"/>
          <w:sz w:val="24"/>
          <w:szCs w:val="24"/>
          <w:lang w:eastAsia="it-IT"/>
        </w:rPr>
        <w:t xml:space="preserve">’ e della ricerca, di concerto con il Ministro della salute, previa intesa in sede di Conferenza permanente per i rapporti tra lo Stato, le regioni e le province autonome di Trento e di Bolzano, si provvede, entro quattro mesi dalla data di entrata in vigore della presente legge, ad emanare linee guida per la predisposizione di protocolli regionali, da stipulare entro i successivi sei mesi, per le </w:t>
      </w:r>
      <w:proofErr w:type="spellStart"/>
      <w:r w:rsidRPr="0095789F">
        <w:rPr>
          <w:rFonts w:ascii="Times New Roman" w:eastAsia="Times New Roman" w:hAnsi="Times New Roman" w:cs="Times New Roman"/>
          <w:sz w:val="24"/>
          <w:szCs w:val="24"/>
          <w:lang w:eastAsia="it-IT"/>
        </w:rPr>
        <w:t>attivita’</w:t>
      </w:r>
      <w:proofErr w:type="spellEnd"/>
      <w:r w:rsidRPr="0095789F">
        <w:rPr>
          <w:rFonts w:ascii="Times New Roman" w:eastAsia="Times New Roman" w:hAnsi="Times New Roman" w:cs="Times New Roman"/>
          <w:sz w:val="24"/>
          <w:szCs w:val="24"/>
          <w:lang w:eastAsia="it-IT"/>
        </w:rPr>
        <w:t xml:space="preserve"> di identificazione precoce di cui all’articolo 3, comma 3.</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2. Il Ministro dell’istruzione, dell’</w:t>
      </w:r>
      <w:proofErr w:type="spellStart"/>
      <w:r w:rsidRPr="0095789F">
        <w:rPr>
          <w:rFonts w:ascii="Times New Roman" w:eastAsia="Times New Roman" w:hAnsi="Times New Roman" w:cs="Times New Roman"/>
          <w:sz w:val="24"/>
          <w:szCs w:val="24"/>
          <w:lang w:eastAsia="it-IT"/>
        </w:rPr>
        <w:t>universita</w:t>
      </w:r>
      <w:proofErr w:type="spellEnd"/>
      <w:r w:rsidRPr="0095789F">
        <w:rPr>
          <w:rFonts w:ascii="Times New Roman" w:eastAsia="Times New Roman" w:hAnsi="Times New Roman" w:cs="Times New Roman"/>
          <w:sz w:val="24"/>
          <w:szCs w:val="24"/>
          <w:lang w:eastAsia="it-IT"/>
        </w:rPr>
        <w:t xml:space="preserve">’ e della ricerca, entro quattro mesi dalla data di entrata in vigore della presente legge, con proprio decreto, individua le </w:t>
      </w:r>
      <w:proofErr w:type="spellStart"/>
      <w:r w:rsidRPr="0095789F">
        <w:rPr>
          <w:rFonts w:ascii="Times New Roman" w:eastAsia="Times New Roman" w:hAnsi="Times New Roman" w:cs="Times New Roman"/>
          <w:sz w:val="24"/>
          <w:szCs w:val="24"/>
          <w:lang w:eastAsia="it-IT"/>
        </w:rPr>
        <w:t>modalita’</w:t>
      </w:r>
      <w:proofErr w:type="spellEnd"/>
      <w:r w:rsidRPr="0095789F">
        <w:rPr>
          <w:rFonts w:ascii="Times New Roman" w:eastAsia="Times New Roman" w:hAnsi="Times New Roman" w:cs="Times New Roman"/>
          <w:sz w:val="24"/>
          <w:szCs w:val="24"/>
          <w:lang w:eastAsia="it-IT"/>
        </w:rPr>
        <w:t xml:space="preserve"> di formazione dei docenti e dei dirigenti di cui all’articolo 4, le misure educative e didattiche di supporto di cui all’articolo 5, comma 2, </w:t>
      </w:r>
      <w:proofErr w:type="spellStart"/>
      <w:r w:rsidRPr="0095789F">
        <w:rPr>
          <w:rFonts w:ascii="Times New Roman" w:eastAsia="Times New Roman" w:hAnsi="Times New Roman" w:cs="Times New Roman"/>
          <w:sz w:val="24"/>
          <w:szCs w:val="24"/>
          <w:lang w:eastAsia="it-IT"/>
        </w:rPr>
        <w:t>nonche’</w:t>
      </w:r>
      <w:proofErr w:type="spellEnd"/>
      <w:r w:rsidRPr="0095789F">
        <w:rPr>
          <w:rFonts w:ascii="Times New Roman" w:eastAsia="Times New Roman" w:hAnsi="Times New Roman" w:cs="Times New Roman"/>
          <w:sz w:val="24"/>
          <w:szCs w:val="24"/>
          <w:lang w:eastAsia="it-IT"/>
        </w:rPr>
        <w:t xml:space="preserve"> le forme di verifica e di valutazione finalizzate ad attuare quanto previsto dall’articolo 5, comma 4.</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3. Con decreto del Ministro dell’istruzione, dell’</w:t>
      </w:r>
      <w:proofErr w:type="spellStart"/>
      <w:r w:rsidRPr="0095789F">
        <w:rPr>
          <w:rFonts w:ascii="Times New Roman" w:eastAsia="Times New Roman" w:hAnsi="Times New Roman" w:cs="Times New Roman"/>
          <w:sz w:val="24"/>
          <w:szCs w:val="24"/>
          <w:lang w:eastAsia="it-IT"/>
        </w:rPr>
        <w:t>universita</w:t>
      </w:r>
      <w:proofErr w:type="spellEnd"/>
      <w:r w:rsidRPr="0095789F">
        <w:rPr>
          <w:rFonts w:ascii="Times New Roman" w:eastAsia="Times New Roman" w:hAnsi="Times New Roman" w:cs="Times New Roman"/>
          <w:sz w:val="24"/>
          <w:szCs w:val="24"/>
          <w:lang w:eastAsia="it-IT"/>
        </w:rPr>
        <w:t>’ e della ricerca, da adottare entro due mesi dalla data di entrata in vigore della presente legge, e’ istituito presso il Ministero dell’istruzione, dell’</w:t>
      </w:r>
      <w:proofErr w:type="spellStart"/>
      <w:r w:rsidRPr="0095789F">
        <w:rPr>
          <w:rFonts w:ascii="Times New Roman" w:eastAsia="Times New Roman" w:hAnsi="Times New Roman" w:cs="Times New Roman"/>
          <w:sz w:val="24"/>
          <w:szCs w:val="24"/>
          <w:lang w:eastAsia="it-IT"/>
        </w:rPr>
        <w:t>universita</w:t>
      </w:r>
      <w:proofErr w:type="spellEnd"/>
      <w:r w:rsidRPr="0095789F">
        <w:rPr>
          <w:rFonts w:ascii="Times New Roman" w:eastAsia="Times New Roman" w:hAnsi="Times New Roman" w:cs="Times New Roman"/>
          <w:sz w:val="24"/>
          <w:szCs w:val="24"/>
          <w:lang w:eastAsia="it-IT"/>
        </w:rPr>
        <w:t>’ e della ricerca un Comitato tecnico-scientifico, composto da esperti di comprovata competenza sui DSA. Il Comitato ha compiti istruttori in ordine alle funzioni che la presente legge attribuisce al Ministero dell’istruzione, dell’</w:t>
      </w:r>
      <w:proofErr w:type="spellStart"/>
      <w:r w:rsidRPr="0095789F">
        <w:rPr>
          <w:rFonts w:ascii="Times New Roman" w:eastAsia="Times New Roman" w:hAnsi="Times New Roman" w:cs="Times New Roman"/>
          <w:sz w:val="24"/>
          <w:szCs w:val="24"/>
          <w:lang w:eastAsia="it-IT"/>
        </w:rPr>
        <w:t>universita</w:t>
      </w:r>
      <w:proofErr w:type="spellEnd"/>
      <w:r w:rsidRPr="0095789F">
        <w:rPr>
          <w:rFonts w:ascii="Times New Roman" w:eastAsia="Times New Roman" w:hAnsi="Times New Roman" w:cs="Times New Roman"/>
          <w:sz w:val="24"/>
          <w:szCs w:val="24"/>
          <w:lang w:eastAsia="it-IT"/>
        </w:rPr>
        <w:t>’ e della ricerca. Ai componenti del Comitato non spetta alcun compenso. Agli eventuali rimborsi di spese si provvede nel limite delle risorse allo scopo disponibili a legislazione vigente iscritte nello stato di previsione del Ministero dell’istruzione, dell’</w:t>
      </w:r>
      <w:proofErr w:type="spellStart"/>
      <w:r w:rsidRPr="0095789F">
        <w:rPr>
          <w:rFonts w:ascii="Times New Roman" w:eastAsia="Times New Roman" w:hAnsi="Times New Roman" w:cs="Times New Roman"/>
          <w:sz w:val="24"/>
          <w:szCs w:val="24"/>
          <w:lang w:eastAsia="it-IT"/>
        </w:rPr>
        <w:t>universita</w:t>
      </w:r>
      <w:proofErr w:type="spellEnd"/>
      <w:r w:rsidRPr="0095789F">
        <w:rPr>
          <w:rFonts w:ascii="Times New Roman" w:eastAsia="Times New Roman" w:hAnsi="Times New Roman" w:cs="Times New Roman"/>
          <w:sz w:val="24"/>
          <w:szCs w:val="24"/>
          <w:lang w:eastAsia="it-IT"/>
        </w:rPr>
        <w:t>’ e della ricerca.</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b/>
          <w:bCs/>
          <w:sz w:val="24"/>
          <w:szCs w:val="24"/>
          <w:lang w:eastAsia="it-IT"/>
        </w:rPr>
        <w:t>Art. 8 – Competenze delle regioni a statuto speciale e delle province autonome</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 xml:space="preserve">1. Sono fatte salve le competenze delle regioni a statuto speciale e delle province autonome di Trento e di Bolzano, in </w:t>
      </w:r>
      <w:proofErr w:type="spellStart"/>
      <w:r w:rsidRPr="0095789F">
        <w:rPr>
          <w:rFonts w:ascii="Times New Roman" w:eastAsia="Times New Roman" w:hAnsi="Times New Roman" w:cs="Times New Roman"/>
          <w:sz w:val="24"/>
          <w:szCs w:val="24"/>
          <w:lang w:eastAsia="it-IT"/>
        </w:rPr>
        <w:t>conformita’</w:t>
      </w:r>
      <w:proofErr w:type="spellEnd"/>
      <w:r w:rsidRPr="0095789F">
        <w:rPr>
          <w:rFonts w:ascii="Times New Roman" w:eastAsia="Times New Roman" w:hAnsi="Times New Roman" w:cs="Times New Roman"/>
          <w:sz w:val="24"/>
          <w:szCs w:val="24"/>
          <w:lang w:eastAsia="it-IT"/>
        </w:rPr>
        <w:t xml:space="preserve"> ai rispettivi statuti e alle relative norme di attuazione </w:t>
      </w:r>
      <w:proofErr w:type="spellStart"/>
      <w:r w:rsidRPr="0095789F">
        <w:rPr>
          <w:rFonts w:ascii="Times New Roman" w:eastAsia="Times New Roman" w:hAnsi="Times New Roman" w:cs="Times New Roman"/>
          <w:sz w:val="24"/>
          <w:szCs w:val="24"/>
          <w:lang w:eastAsia="it-IT"/>
        </w:rPr>
        <w:t>nonche’</w:t>
      </w:r>
      <w:proofErr w:type="spellEnd"/>
      <w:r w:rsidRPr="0095789F">
        <w:rPr>
          <w:rFonts w:ascii="Times New Roman" w:eastAsia="Times New Roman" w:hAnsi="Times New Roman" w:cs="Times New Roman"/>
          <w:sz w:val="24"/>
          <w:szCs w:val="24"/>
          <w:lang w:eastAsia="it-IT"/>
        </w:rPr>
        <w:t xml:space="preserve"> alle disposizioni del titolo V della parte seconda della Costituzione.</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lastRenderedPageBreak/>
        <w:t>2. Entro tre mesi dalla data di entrata in vigore della presente legge, le regioni a statuto speciale e le province autonome di Trento e di Bolzano provvedono a dare attuazione alle disposizioni della legge stessa.</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b/>
          <w:bCs/>
          <w:sz w:val="24"/>
          <w:szCs w:val="24"/>
          <w:lang w:eastAsia="it-IT"/>
        </w:rPr>
        <w:t>Art. 9 – Clausola di invarianza finanziaria</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1. Fatto salvo quanto previsto dall’articolo 4, comma 2, dall’attuazione della presente legge non devono derivare nuovi o maggiori oneri a carico della finanza pubblica.</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 xml:space="preserve">La presente legge, munita del sigillo dello Stato, </w:t>
      </w:r>
      <w:proofErr w:type="spellStart"/>
      <w:r w:rsidRPr="0095789F">
        <w:rPr>
          <w:rFonts w:ascii="Times New Roman" w:eastAsia="Times New Roman" w:hAnsi="Times New Roman" w:cs="Times New Roman"/>
          <w:sz w:val="24"/>
          <w:szCs w:val="24"/>
          <w:lang w:eastAsia="it-IT"/>
        </w:rPr>
        <w:t>sara’</w:t>
      </w:r>
      <w:proofErr w:type="spellEnd"/>
      <w:r w:rsidRPr="0095789F">
        <w:rPr>
          <w:rFonts w:ascii="Times New Roman" w:eastAsia="Times New Roman" w:hAnsi="Times New Roman" w:cs="Times New Roman"/>
          <w:sz w:val="24"/>
          <w:szCs w:val="24"/>
          <w:lang w:eastAsia="it-IT"/>
        </w:rPr>
        <w:t xml:space="preserve"> inserita nella Raccolta ufficiale degli atti normativi della Repubblica italiana. E’ fatto obbligo a chiunque spetti di osservarla e di farla osservare come legge dello Stato.</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 xml:space="preserve">Data a Roma, </w:t>
      </w:r>
      <w:proofErr w:type="spellStart"/>
      <w:r w:rsidRPr="0095789F">
        <w:rPr>
          <w:rFonts w:ascii="Times New Roman" w:eastAsia="Times New Roman" w:hAnsi="Times New Roman" w:cs="Times New Roman"/>
          <w:sz w:val="24"/>
          <w:szCs w:val="24"/>
          <w:lang w:eastAsia="it-IT"/>
        </w:rPr>
        <w:t>addi’</w:t>
      </w:r>
      <w:proofErr w:type="spellEnd"/>
      <w:r w:rsidRPr="0095789F">
        <w:rPr>
          <w:rFonts w:ascii="Times New Roman" w:eastAsia="Times New Roman" w:hAnsi="Times New Roman" w:cs="Times New Roman"/>
          <w:sz w:val="24"/>
          <w:szCs w:val="24"/>
          <w:lang w:eastAsia="it-IT"/>
        </w:rPr>
        <w:t xml:space="preserve"> 8 ottobre 2010</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NAPOLITANO</w:t>
      </w:r>
      <w:r w:rsidRPr="0095789F">
        <w:rPr>
          <w:rFonts w:ascii="Times New Roman" w:eastAsia="Times New Roman" w:hAnsi="Times New Roman" w:cs="Times New Roman"/>
          <w:sz w:val="24"/>
          <w:szCs w:val="24"/>
          <w:lang w:eastAsia="it-IT"/>
        </w:rPr>
        <w:br/>
        <w:t>Berlusconi, Presidente del Consiglio dei Ministri</w:t>
      </w:r>
    </w:p>
    <w:p w:rsidR="0095789F" w:rsidRPr="0095789F" w:rsidRDefault="0095789F" w:rsidP="0095789F">
      <w:pPr>
        <w:spacing w:before="100" w:beforeAutospacing="1" w:after="100" w:afterAutospacing="1" w:line="240" w:lineRule="auto"/>
        <w:rPr>
          <w:rFonts w:ascii="Times New Roman" w:eastAsia="Times New Roman" w:hAnsi="Times New Roman" w:cs="Times New Roman"/>
          <w:sz w:val="24"/>
          <w:szCs w:val="24"/>
          <w:lang w:eastAsia="it-IT"/>
        </w:rPr>
      </w:pPr>
      <w:r w:rsidRPr="0095789F">
        <w:rPr>
          <w:rFonts w:ascii="Times New Roman" w:eastAsia="Times New Roman" w:hAnsi="Times New Roman" w:cs="Times New Roman"/>
          <w:sz w:val="24"/>
          <w:szCs w:val="24"/>
          <w:lang w:eastAsia="it-IT"/>
        </w:rPr>
        <w:t>Visto, il Guardasigilli: Alfano</w:t>
      </w:r>
    </w:p>
    <w:p w:rsidR="00006770" w:rsidRDefault="00006770"/>
    <w:sectPr w:rsidR="00006770" w:rsidSect="000067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5789F"/>
    <w:rsid w:val="00006770"/>
    <w:rsid w:val="002B0E42"/>
    <w:rsid w:val="00917760"/>
    <w:rsid w:val="0095789F"/>
    <w:rsid w:val="00980F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6770"/>
  </w:style>
  <w:style w:type="paragraph" w:styleId="Titolo1">
    <w:name w:val="heading 1"/>
    <w:basedOn w:val="Normale"/>
    <w:link w:val="Titolo1Carattere"/>
    <w:uiPriority w:val="9"/>
    <w:qFormat/>
    <w:rsid w:val="009578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789F"/>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95789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5789F"/>
    <w:rPr>
      <w:b/>
      <w:bCs/>
    </w:rPr>
  </w:style>
</w:styles>
</file>

<file path=word/webSettings.xml><?xml version="1.0" encoding="utf-8"?>
<w:webSettings xmlns:r="http://schemas.openxmlformats.org/officeDocument/2006/relationships" xmlns:w="http://schemas.openxmlformats.org/wordprocessingml/2006/main">
  <w:divs>
    <w:div w:id="1199046691">
      <w:bodyDiv w:val="1"/>
      <w:marLeft w:val="0"/>
      <w:marRight w:val="0"/>
      <w:marTop w:val="0"/>
      <w:marBottom w:val="0"/>
      <w:divBdr>
        <w:top w:val="none" w:sz="0" w:space="0" w:color="auto"/>
        <w:left w:val="none" w:sz="0" w:space="0" w:color="auto"/>
        <w:bottom w:val="none" w:sz="0" w:space="0" w:color="auto"/>
        <w:right w:val="none" w:sz="0" w:space="0" w:color="auto"/>
      </w:divBdr>
      <w:divsChild>
        <w:div w:id="559945825">
          <w:marLeft w:val="0"/>
          <w:marRight w:val="0"/>
          <w:marTop w:val="0"/>
          <w:marBottom w:val="0"/>
          <w:divBdr>
            <w:top w:val="none" w:sz="0" w:space="0" w:color="auto"/>
            <w:left w:val="none" w:sz="0" w:space="0" w:color="auto"/>
            <w:bottom w:val="none" w:sz="0" w:space="0" w:color="auto"/>
            <w:right w:val="none" w:sz="0" w:space="0" w:color="auto"/>
          </w:divBdr>
          <w:divsChild>
            <w:div w:id="1782601758">
              <w:marLeft w:val="0"/>
              <w:marRight w:val="0"/>
              <w:marTop w:val="0"/>
              <w:marBottom w:val="0"/>
              <w:divBdr>
                <w:top w:val="none" w:sz="0" w:space="0" w:color="auto"/>
                <w:left w:val="none" w:sz="0" w:space="0" w:color="auto"/>
                <w:bottom w:val="none" w:sz="0" w:space="0" w:color="auto"/>
                <w:right w:val="none" w:sz="0" w:space="0" w:color="auto"/>
              </w:divBdr>
              <w:divsChild>
                <w:div w:id="1395544823">
                  <w:marLeft w:val="0"/>
                  <w:marRight w:val="0"/>
                  <w:marTop w:val="0"/>
                  <w:marBottom w:val="0"/>
                  <w:divBdr>
                    <w:top w:val="none" w:sz="0" w:space="0" w:color="auto"/>
                    <w:left w:val="none" w:sz="0" w:space="0" w:color="auto"/>
                    <w:bottom w:val="none" w:sz="0" w:space="0" w:color="auto"/>
                    <w:right w:val="none" w:sz="0" w:space="0" w:color="auto"/>
                  </w:divBdr>
                  <w:divsChild>
                    <w:div w:id="1495024510">
                      <w:marLeft w:val="0"/>
                      <w:marRight w:val="0"/>
                      <w:marTop w:val="0"/>
                      <w:marBottom w:val="0"/>
                      <w:divBdr>
                        <w:top w:val="none" w:sz="0" w:space="0" w:color="auto"/>
                        <w:left w:val="none" w:sz="0" w:space="0" w:color="auto"/>
                        <w:bottom w:val="none" w:sz="0" w:space="0" w:color="auto"/>
                        <w:right w:val="none" w:sz="0" w:space="0" w:color="auto"/>
                      </w:divBdr>
                      <w:divsChild>
                        <w:div w:id="13577872">
                          <w:marLeft w:val="0"/>
                          <w:marRight w:val="0"/>
                          <w:marTop w:val="0"/>
                          <w:marBottom w:val="0"/>
                          <w:divBdr>
                            <w:top w:val="none" w:sz="0" w:space="0" w:color="auto"/>
                            <w:left w:val="none" w:sz="0" w:space="0" w:color="auto"/>
                            <w:bottom w:val="none" w:sz="0" w:space="0" w:color="auto"/>
                            <w:right w:val="none" w:sz="0" w:space="0" w:color="auto"/>
                          </w:divBdr>
                          <w:divsChild>
                            <w:div w:id="1611820320">
                              <w:marLeft w:val="0"/>
                              <w:marRight w:val="0"/>
                              <w:marTop w:val="0"/>
                              <w:marBottom w:val="0"/>
                              <w:divBdr>
                                <w:top w:val="none" w:sz="0" w:space="0" w:color="auto"/>
                                <w:left w:val="none" w:sz="0" w:space="0" w:color="auto"/>
                                <w:bottom w:val="none" w:sz="0" w:space="0" w:color="auto"/>
                                <w:right w:val="none" w:sz="0" w:space="0" w:color="auto"/>
                              </w:divBdr>
                              <w:divsChild>
                                <w:div w:id="1703822627">
                                  <w:marLeft w:val="0"/>
                                  <w:marRight w:val="0"/>
                                  <w:marTop w:val="0"/>
                                  <w:marBottom w:val="0"/>
                                  <w:divBdr>
                                    <w:top w:val="none" w:sz="0" w:space="0" w:color="auto"/>
                                    <w:left w:val="none" w:sz="0" w:space="0" w:color="auto"/>
                                    <w:bottom w:val="none" w:sz="0" w:space="0" w:color="auto"/>
                                    <w:right w:val="none" w:sz="0" w:space="0" w:color="auto"/>
                                  </w:divBdr>
                                  <w:divsChild>
                                    <w:div w:id="1583484581">
                                      <w:marLeft w:val="0"/>
                                      <w:marRight w:val="0"/>
                                      <w:marTop w:val="0"/>
                                      <w:marBottom w:val="0"/>
                                      <w:divBdr>
                                        <w:top w:val="none" w:sz="0" w:space="0" w:color="auto"/>
                                        <w:left w:val="none" w:sz="0" w:space="0" w:color="auto"/>
                                        <w:bottom w:val="none" w:sz="0" w:space="0" w:color="auto"/>
                                        <w:right w:val="none" w:sz="0" w:space="0" w:color="auto"/>
                                      </w:divBdr>
                                      <w:divsChild>
                                        <w:div w:id="488180245">
                                          <w:marLeft w:val="0"/>
                                          <w:marRight w:val="0"/>
                                          <w:marTop w:val="0"/>
                                          <w:marBottom w:val="0"/>
                                          <w:divBdr>
                                            <w:top w:val="none" w:sz="0" w:space="0" w:color="auto"/>
                                            <w:left w:val="none" w:sz="0" w:space="0" w:color="auto"/>
                                            <w:bottom w:val="none" w:sz="0" w:space="0" w:color="auto"/>
                                            <w:right w:val="none" w:sz="0" w:space="0" w:color="auto"/>
                                          </w:divBdr>
                                          <w:divsChild>
                                            <w:div w:id="1902905549">
                                              <w:marLeft w:val="0"/>
                                              <w:marRight w:val="0"/>
                                              <w:marTop w:val="0"/>
                                              <w:marBottom w:val="0"/>
                                              <w:divBdr>
                                                <w:top w:val="none" w:sz="0" w:space="0" w:color="auto"/>
                                                <w:left w:val="none" w:sz="0" w:space="0" w:color="auto"/>
                                                <w:bottom w:val="none" w:sz="0" w:space="0" w:color="auto"/>
                                                <w:right w:val="none" w:sz="0" w:space="0" w:color="auto"/>
                                              </w:divBdr>
                                              <w:divsChild>
                                                <w:div w:id="8297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8284</Characters>
  <Application>Microsoft Office Word</Application>
  <DocSecurity>0</DocSecurity>
  <Lines>69</Lines>
  <Paragraphs>19</Paragraphs>
  <ScaleCrop>false</ScaleCrop>
  <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lory</dc:creator>
  <cp:lastModifiedBy>Windows</cp:lastModifiedBy>
  <cp:revision>2</cp:revision>
  <dcterms:created xsi:type="dcterms:W3CDTF">2019-11-15T13:29:00Z</dcterms:created>
  <dcterms:modified xsi:type="dcterms:W3CDTF">2019-11-15T13:29:00Z</dcterms:modified>
</cp:coreProperties>
</file>